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7883B18">
      <w:pPr>
        <w:spacing w:line="560" w:lineRule="exact"/>
        <w:jc w:val="left"/>
        <w:rPr>
          <w:rFonts w:hint="eastAsia" w:ascii="黑体" w:hAnsi="黑体" w:eastAsia="黑体" w:cs="黑体"/>
          <w:bCs/>
          <w:sz w:val="32"/>
          <w:szCs w:val="32"/>
          <w:lang w:val="en-US" w:eastAsia="zh-CN"/>
          <w14:ligatures w14:val="none"/>
        </w:rPr>
      </w:pPr>
      <w:r>
        <w:rPr>
          <w:rFonts w:hint="eastAsia" w:ascii="方正小标宋简体" w:hAnsi="方正小标宋简体" w:eastAsia="方正小标宋简体" w:cs="方正小标宋简体"/>
          <w:bCs/>
          <w:sz w:val="44"/>
          <w:szCs w:val="44"/>
          <w:lang w:val="en-US" w:eastAsia="zh-CN"/>
          <w14:ligatures w14:val="none"/>
        </w:rPr>
        <w:tab/>
      </w:r>
      <w:r>
        <w:rPr>
          <w:rFonts w:hint="eastAsia" w:ascii="黑体" w:hAnsi="黑体" w:eastAsia="黑体" w:cs="黑体"/>
          <w:bCs/>
          <w:sz w:val="32"/>
          <w:szCs w:val="32"/>
          <w:lang w:val="en-US" w:eastAsia="zh-CN"/>
          <w14:ligatures w14:val="none"/>
        </w:rPr>
        <w:t>附件1</w:t>
      </w:r>
    </w:p>
    <w:p w14:paraId="03A3EFD1">
      <w:pPr>
        <w:spacing w:line="560" w:lineRule="exact"/>
        <w:jc w:val="center"/>
        <w:rPr>
          <w:rFonts w:hint="eastAsia" w:ascii="方正小标宋简体" w:hAnsi="方正小标宋简体" w:eastAsia="方正小标宋简体" w:cs="方正小标宋简体"/>
          <w:bCs/>
          <w:sz w:val="44"/>
          <w:szCs w:val="44"/>
          <w:lang w:val="en-US" w:eastAsia="zh-CN"/>
          <w14:ligatures w14:val="none"/>
        </w:rPr>
      </w:pPr>
      <w:r>
        <w:rPr>
          <w:rFonts w:hint="eastAsia" w:ascii="方正小标宋简体" w:hAnsi="方正小标宋简体" w:eastAsia="方正小标宋简体" w:cs="方正小标宋简体"/>
          <w:bCs/>
          <w:sz w:val="44"/>
          <w:szCs w:val="44"/>
          <w:lang w:val="en-US" w:eastAsia="zh-CN"/>
          <w14:ligatures w14:val="none"/>
        </w:rPr>
        <w:t>采购需求</w:t>
      </w:r>
    </w:p>
    <w:p w14:paraId="6F89947E">
      <w:pPr>
        <w:spacing w:line="560" w:lineRule="exact"/>
        <w:jc w:val="center"/>
        <w:rPr>
          <w:rFonts w:hint="default" w:ascii="方正小标宋_GBK" w:hAnsi="Arial" w:eastAsia="方正小标宋_GBK" w:cs="Arial"/>
          <w:bCs/>
          <w:sz w:val="44"/>
          <w:szCs w:val="44"/>
          <w:lang w:val="en-US" w:eastAsia="zh-CN"/>
          <w14:ligatures w14:val="none"/>
        </w:rPr>
      </w:pPr>
    </w:p>
    <w:p w14:paraId="50456181">
      <w:pPr>
        <w:widowControl w:val="0"/>
        <w:kinsoku/>
        <w:topLinePunct/>
        <w:spacing w:before="72" w:line="560" w:lineRule="exact"/>
        <w:ind w:right="420" w:firstLine="652" w:firstLineChars="200"/>
        <w:contextualSpacing/>
        <w:jc w:val="both"/>
        <w:rPr>
          <w:rFonts w:hint="eastAsia" w:ascii="仿宋_GB2312" w:hAnsi="宋体" w:eastAsia="仿宋_GB2312" w:cs="宋体"/>
          <w:spacing w:val="3"/>
          <w:sz w:val="32"/>
          <w:szCs w:val="32"/>
          <w:lang w:val="en-US" w:eastAsia="zh-CN"/>
          <w14:ligatures w14:val="none"/>
        </w:rPr>
      </w:pPr>
      <w:r>
        <w:rPr>
          <w:rFonts w:hint="eastAsia" w:ascii="仿宋_GB2312" w:hAnsi="宋体" w:eastAsia="仿宋_GB2312" w:cs="宋体"/>
          <w:spacing w:val="3"/>
          <w:sz w:val="32"/>
          <w:szCs w:val="32"/>
          <w:lang w:val="en-US" w:eastAsia="zh-CN"/>
          <w14:ligatures w14:val="none"/>
        </w:rPr>
        <w:t>服务单位应根据国家的有关法规、技术规范和标准，采用符合或优于检测服务要求（详见附件1）的方式，进行指定路段的照明质量综合检测。根据检测过程及结果，通过问题反馈、解决建议提供、优化后复测等方式，为照明公司提供专业完整、指定认证的</w:t>
      </w:r>
      <w:r>
        <w:rPr>
          <w:rFonts w:hint="eastAsia" w:ascii="仿宋_GB2312" w:hAnsi="宋体" w:cs="宋体"/>
          <w:spacing w:val="3"/>
          <w:sz w:val="32"/>
          <w:szCs w:val="32"/>
          <w:lang w:val="en-US" w:eastAsia="zh-CN"/>
          <w14:ligatures w14:val="none"/>
        </w:rPr>
        <w:t>照明质量检测报告、减碳核算分析报告等</w:t>
      </w:r>
      <w:r>
        <w:rPr>
          <w:rFonts w:hint="eastAsia" w:ascii="仿宋_GB2312" w:hAnsi="宋体" w:eastAsia="仿宋_GB2312" w:cs="宋体"/>
          <w:spacing w:val="3"/>
          <w:sz w:val="32"/>
          <w:szCs w:val="32"/>
          <w:lang w:val="en-US" w:eastAsia="zh-CN"/>
          <w14:ligatures w14:val="none"/>
        </w:rPr>
        <w:t>成果资料。</w:t>
      </w:r>
    </w:p>
    <w:p w14:paraId="754C26F0">
      <w:pPr>
        <w:widowControl w:val="0"/>
        <w:kinsoku/>
        <w:topLinePunct/>
        <w:spacing w:before="112" w:line="560" w:lineRule="exact"/>
        <w:ind w:firstLine="628" w:firstLineChars="200"/>
        <w:contextualSpacing/>
        <w:rPr>
          <w:rFonts w:hint="eastAsia" w:ascii="黑体" w:hAnsi="黑体" w:eastAsia="黑体" w:cs="微软雅黑"/>
          <w:spacing w:val="-3"/>
          <w:sz w:val="32"/>
          <w:szCs w:val="32"/>
          <w:lang w:val="en-US" w:eastAsia="zh-CN"/>
          <w14:ligatures w14:val="none"/>
        </w:rPr>
      </w:pPr>
      <w:r>
        <w:rPr>
          <w:rFonts w:hint="eastAsia" w:ascii="黑体" w:hAnsi="黑体" w:eastAsia="黑体" w:cs="微软雅黑"/>
          <w:spacing w:val="-3"/>
          <w:sz w:val="32"/>
          <w:szCs w:val="32"/>
          <w:lang w:val="en-US" w:eastAsia="zh-CN"/>
          <w14:ligatures w14:val="none"/>
        </w:rPr>
        <w:t>一、道路照明质量全项检测</w:t>
      </w:r>
    </w:p>
    <w:p w14:paraId="088E5AEC">
      <w:pPr>
        <w:widowControl w:val="0"/>
        <w:kinsoku/>
        <w:topLinePunct/>
        <w:spacing w:before="72" w:line="560" w:lineRule="exact"/>
        <w:ind w:right="420" w:firstLine="648" w:firstLineChars="200"/>
        <w:contextualSpacing/>
        <w:jc w:val="both"/>
        <w:rPr>
          <w:rFonts w:hint="eastAsia" w:ascii="楷体_GB2312" w:hAnsi="宋体" w:eastAsia="楷体_GB2312" w:cs="宋体"/>
          <w:spacing w:val="2"/>
          <w:sz w:val="32"/>
          <w:szCs w:val="32"/>
          <w:highlight w:val="none"/>
          <w:lang w:val="en-US" w:eastAsia="zh-CN"/>
          <w14:ligatures w14:val="none"/>
        </w:rPr>
      </w:pPr>
      <w:r>
        <w:rPr>
          <w:rFonts w:hint="eastAsia" w:ascii="楷体_GB2312" w:hAnsi="宋体" w:eastAsia="楷体_GB2312" w:cs="宋体"/>
          <w:spacing w:val="2"/>
          <w:sz w:val="32"/>
          <w:szCs w:val="32"/>
          <w:highlight w:val="none"/>
          <w:lang w:val="en-US" w:eastAsia="zh-CN"/>
          <w14:ligatures w14:val="none"/>
        </w:rPr>
        <w:t>（一）检测范围及数量</w:t>
      </w:r>
    </w:p>
    <w:p w14:paraId="3B7D837A">
      <w:pPr>
        <w:widowControl w:val="0"/>
        <w:kinsoku/>
        <w:topLinePunct/>
        <w:spacing w:before="72" w:line="560" w:lineRule="exact"/>
        <w:ind w:right="420" w:firstLine="652" w:firstLineChars="200"/>
        <w:contextualSpacing/>
        <w:jc w:val="both"/>
        <w:rPr>
          <w:rFonts w:hint="default" w:ascii="仿宋_GB2312" w:hAnsi="宋体" w:eastAsia="仿宋_GB2312" w:cs="宋体"/>
          <w:spacing w:val="3"/>
          <w:sz w:val="32"/>
          <w:szCs w:val="32"/>
          <w:lang w:val="en-US" w:eastAsia="zh-CN"/>
          <w14:ligatures w14:val="none"/>
        </w:rPr>
      </w:pPr>
      <w:r>
        <w:rPr>
          <w:rFonts w:hint="eastAsia" w:ascii="仿宋_GB2312" w:hAnsi="宋体" w:cs="宋体"/>
          <w:spacing w:val="3"/>
          <w:sz w:val="32"/>
          <w:szCs w:val="32"/>
          <w:lang w:val="en-US" w:eastAsia="zh-CN"/>
          <w14:ligatures w14:val="none"/>
        </w:rPr>
        <w:t>10</w:t>
      </w:r>
      <w:r>
        <w:rPr>
          <w:rFonts w:hint="eastAsia" w:ascii="仿宋_GB2312" w:hAnsi="宋体" w:eastAsia="仿宋_GB2312" w:cs="宋体"/>
          <w:spacing w:val="3"/>
          <w:sz w:val="32"/>
          <w:szCs w:val="32"/>
          <w:lang w:val="en-US" w:eastAsia="zh-CN"/>
          <w14:ligatures w14:val="none"/>
        </w:rPr>
        <w:t>条，暂定胶宁高架路、环湾路、跨海大桥高架路、银川西路、黑龙江</w:t>
      </w:r>
      <w:r>
        <w:rPr>
          <w:rFonts w:hint="eastAsia" w:ascii="仿宋_GB2312" w:hAnsi="宋体" w:cs="宋体"/>
          <w:spacing w:val="3"/>
          <w:sz w:val="32"/>
          <w:szCs w:val="32"/>
          <w:lang w:val="en-US" w:eastAsia="zh-CN"/>
          <w14:ligatures w14:val="none"/>
        </w:rPr>
        <w:t>中</w:t>
      </w:r>
      <w:r>
        <w:rPr>
          <w:rFonts w:hint="eastAsia" w:ascii="仿宋_GB2312" w:hAnsi="宋体" w:eastAsia="仿宋_GB2312" w:cs="宋体"/>
          <w:spacing w:val="3"/>
          <w:sz w:val="32"/>
          <w:szCs w:val="32"/>
          <w:lang w:val="en-US" w:eastAsia="zh-CN"/>
          <w14:ligatures w14:val="none"/>
        </w:rPr>
        <w:t>路、永平路、四流中路、</w:t>
      </w:r>
      <w:r>
        <w:rPr>
          <w:rFonts w:hint="eastAsia" w:ascii="仿宋_GB2312" w:hAnsi="宋体" w:cs="宋体"/>
          <w:spacing w:val="3"/>
          <w:sz w:val="32"/>
          <w:szCs w:val="32"/>
          <w:lang w:val="en-US" w:eastAsia="zh-CN"/>
          <w14:ligatures w14:val="none"/>
        </w:rPr>
        <w:t>四流北路、</w:t>
      </w:r>
      <w:r>
        <w:rPr>
          <w:rFonts w:hint="eastAsia" w:ascii="仿宋_GB2312" w:hAnsi="宋体" w:eastAsia="仿宋_GB2312" w:cs="宋体"/>
          <w:spacing w:val="3"/>
          <w:sz w:val="32"/>
          <w:szCs w:val="32"/>
          <w:lang w:val="en-US" w:eastAsia="zh-CN"/>
          <w14:ligatures w14:val="none"/>
        </w:rPr>
        <w:t>遵义路</w:t>
      </w:r>
      <w:r>
        <w:rPr>
          <w:rFonts w:hint="eastAsia" w:ascii="仿宋_GB2312" w:hAnsi="宋体" w:cs="宋体"/>
          <w:spacing w:val="3"/>
          <w:sz w:val="32"/>
          <w:szCs w:val="32"/>
          <w:lang w:val="en-US" w:eastAsia="zh-CN"/>
          <w14:ligatures w14:val="none"/>
        </w:rPr>
        <w:t>、同安路</w:t>
      </w:r>
      <w:r>
        <w:rPr>
          <w:rFonts w:hint="eastAsia" w:ascii="仿宋_GB2312" w:hAnsi="宋体" w:eastAsia="仿宋_GB2312" w:cs="宋体"/>
          <w:spacing w:val="3"/>
          <w:sz w:val="32"/>
          <w:szCs w:val="32"/>
          <w:lang w:val="en-US" w:eastAsia="zh-CN"/>
          <w14:ligatures w14:val="none"/>
        </w:rPr>
        <w:t>的节能改造区域，实际检测道路以后期协议约定为准。</w:t>
      </w:r>
    </w:p>
    <w:p w14:paraId="75680340">
      <w:pPr>
        <w:widowControl w:val="0"/>
        <w:kinsoku/>
        <w:topLinePunct/>
        <w:spacing w:before="72" w:line="560" w:lineRule="exact"/>
        <w:ind w:right="420" w:firstLine="648" w:firstLineChars="200"/>
        <w:contextualSpacing/>
        <w:jc w:val="both"/>
        <w:rPr>
          <w:rFonts w:hint="default" w:ascii="楷体_GB2312" w:hAnsi="宋体" w:eastAsia="楷体_GB2312" w:cs="宋体"/>
          <w:spacing w:val="2"/>
          <w:sz w:val="32"/>
          <w:szCs w:val="32"/>
          <w:highlight w:val="none"/>
          <w:lang w:val="en-US" w:eastAsia="zh-CN"/>
          <w14:ligatures w14:val="none"/>
        </w:rPr>
      </w:pPr>
      <w:r>
        <w:rPr>
          <w:rFonts w:hint="eastAsia" w:ascii="楷体_GB2312" w:hAnsi="宋体" w:eastAsia="楷体_GB2312" w:cs="宋体"/>
          <w:spacing w:val="2"/>
          <w:sz w:val="32"/>
          <w:szCs w:val="32"/>
          <w:highlight w:val="none"/>
          <w:lang w:val="en-US" w:eastAsia="zh-CN"/>
          <w14:ligatures w14:val="none"/>
        </w:rPr>
        <w:t>（二）检测要求</w:t>
      </w:r>
    </w:p>
    <w:p w14:paraId="2E1BE88B">
      <w:pPr>
        <w:widowControl w:val="0"/>
        <w:kinsoku/>
        <w:topLinePunct/>
        <w:spacing w:before="72" w:line="560" w:lineRule="exact"/>
        <w:ind w:right="420" w:firstLine="652" w:firstLineChars="200"/>
        <w:contextualSpacing/>
        <w:jc w:val="both"/>
        <w:rPr>
          <w:rFonts w:hint="eastAsia" w:ascii="仿宋_GB2312" w:hAnsi="宋体" w:eastAsia="仿宋_GB2312" w:cs="宋体"/>
          <w:spacing w:val="3"/>
          <w:sz w:val="32"/>
          <w:szCs w:val="32"/>
          <w:lang w:val="en-US" w:eastAsia="zh-CN"/>
          <w14:ligatures w14:val="none"/>
        </w:rPr>
      </w:pPr>
      <w:r>
        <w:rPr>
          <w:rFonts w:hint="eastAsia" w:ascii="仿宋_GB2312" w:hAnsi="宋体" w:eastAsia="仿宋_GB2312" w:cs="宋体"/>
          <w:spacing w:val="3"/>
          <w:sz w:val="32"/>
          <w:szCs w:val="32"/>
          <w:lang w:val="en-US" w:eastAsia="zh-CN"/>
          <w14:ligatures w14:val="none"/>
        </w:rPr>
        <w:t>全面检测节能改造路段的路面平均照度、照度均匀度、环境比、平均亮度、亮度总均匀度、亮度纵向均匀度、阈值增量、色温、显色指数、灯杆电参数、系统电参数</w:t>
      </w:r>
      <w:r>
        <w:rPr>
          <w:rFonts w:hint="eastAsia" w:ascii="仿宋_GB2312" w:hAnsi="宋体" w:cs="宋体"/>
          <w:spacing w:val="3"/>
          <w:sz w:val="32"/>
          <w:szCs w:val="32"/>
          <w:lang w:val="en-US" w:eastAsia="zh-CN"/>
          <w14:ligatures w14:val="none"/>
        </w:rPr>
        <w:t>等，并综合考虑和排查光干扰、光污染类影响因素、参照参数等，</w:t>
      </w:r>
      <w:r>
        <w:rPr>
          <w:rFonts w:hint="eastAsia" w:ascii="仿宋_GB2312" w:hAnsi="宋体" w:eastAsia="仿宋_GB2312" w:cs="宋体"/>
          <w:spacing w:val="3"/>
          <w:sz w:val="32"/>
          <w:szCs w:val="32"/>
          <w:lang w:val="en-US" w:eastAsia="zh-CN"/>
          <w14:ligatures w14:val="none"/>
        </w:rPr>
        <w:t>出具检测报告。</w:t>
      </w:r>
    </w:p>
    <w:p w14:paraId="3D7041A0">
      <w:pPr>
        <w:widowControl w:val="0"/>
        <w:kinsoku/>
        <w:topLinePunct/>
        <w:spacing w:before="72" w:line="560" w:lineRule="exact"/>
        <w:ind w:right="420" w:firstLine="652" w:firstLineChars="200"/>
        <w:contextualSpacing/>
        <w:jc w:val="both"/>
        <w:rPr>
          <w:rFonts w:hint="default" w:ascii="仿宋_GB2312" w:hAnsi="宋体" w:eastAsia="仿宋_GB2312" w:cs="宋体"/>
          <w:spacing w:val="3"/>
          <w:sz w:val="32"/>
          <w:szCs w:val="32"/>
          <w:lang w:val="en-US" w:eastAsia="zh-CN"/>
          <w14:ligatures w14:val="none"/>
        </w:rPr>
      </w:pPr>
      <w:r>
        <w:rPr>
          <w:rFonts w:hint="eastAsia" w:ascii="仿宋_GB2312" w:hAnsi="宋体" w:eastAsia="仿宋_GB2312" w:cs="宋体"/>
          <w:spacing w:val="3"/>
          <w:sz w:val="32"/>
          <w:szCs w:val="32"/>
          <w:lang w:val="en-US" w:eastAsia="zh-CN"/>
          <w14:ligatures w14:val="none"/>
        </w:rPr>
        <w:t>照度测量：参照附件3《检测服务要求》内容</w:t>
      </w:r>
      <w:r>
        <w:rPr>
          <w:rFonts w:hint="eastAsia" w:ascii="仿宋_GB2312" w:hAnsi="宋体" w:cs="宋体"/>
          <w:spacing w:val="3"/>
          <w:sz w:val="32"/>
          <w:szCs w:val="32"/>
          <w:lang w:val="en-US" w:eastAsia="zh-CN"/>
          <w14:ligatures w14:val="none"/>
        </w:rPr>
        <w:t>。</w:t>
      </w:r>
    </w:p>
    <w:p w14:paraId="6E925503">
      <w:pPr>
        <w:widowControl w:val="0"/>
        <w:kinsoku/>
        <w:topLinePunct/>
        <w:spacing w:before="72" w:line="560" w:lineRule="exact"/>
        <w:ind w:right="420" w:firstLine="652" w:firstLineChars="200"/>
        <w:contextualSpacing/>
        <w:jc w:val="both"/>
        <w:rPr>
          <w:rFonts w:hint="default" w:ascii="仿宋_GB2312" w:hAnsi="宋体" w:eastAsia="仿宋_GB2312" w:cs="宋体"/>
          <w:spacing w:val="3"/>
          <w:sz w:val="32"/>
          <w:szCs w:val="32"/>
          <w:lang w:val="en-US" w:eastAsia="zh-CN"/>
          <w14:ligatures w14:val="none"/>
        </w:rPr>
      </w:pPr>
      <w:r>
        <w:rPr>
          <w:rFonts w:hint="eastAsia" w:ascii="仿宋_GB2312" w:hAnsi="宋体" w:eastAsia="仿宋_GB2312" w:cs="宋体"/>
          <w:spacing w:val="3"/>
          <w:sz w:val="32"/>
          <w:szCs w:val="32"/>
          <w:lang w:val="en-US" w:eastAsia="zh-CN"/>
          <w14:ligatures w14:val="none"/>
        </w:rPr>
        <w:t>亮度测量：参照附件3</w:t>
      </w:r>
      <w:bookmarkStart w:id="0" w:name="_GoBack"/>
      <w:bookmarkEnd w:id="0"/>
      <w:r>
        <w:rPr>
          <w:rFonts w:hint="eastAsia" w:ascii="仿宋_GB2312" w:hAnsi="宋体" w:eastAsia="仿宋_GB2312" w:cs="宋体"/>
          <w:spacing w:val="3"/>
          <w:sz w:val="32"/>
          <w:szCs w:val="32"/>
          <w:lang w:val="en-US" w:eastAsia="zh-CN"/>
          <w14:ligatures w14:val="none"/>
        </w:rPr>
        <w:t>《检测服务要求》内容</w:t>
      </w:r>
      <w:r>
        <w:rPr>
          <w:rFonts w:hint="eastAsia" w:ascii="仿宋_GB2312" w:hAnsi="宋体" w:cs="宋体"/>
          <w:spacing w:val="3"/>
          <w:sz w:val="32"/>
          <w:szCs w:val="32"/>
          <w:lang w:val="en-US" w:eastAsia="zh-CN"/>
          <w14:ligatures w14:val="none"/>
        </w:rPr>
        <w:t>。</w:t>
      </w:r>
    </w:p>
    <w:p w14:paraId="4B05E110">
      <w:pPr>
        <w:widowControl w:val="0"/>
        <w:kinsoku/>
        <w:topLinePunct/>
        <w:spacing w:before="72" w:line="560" w:lineRule="exact"/>
        <w:ind w:right="420" w:firstLine="652" w:firstLineChars="200"/>
        <w:contextualSpacing/>
        <w:jc w:val="both"/>
        <w:rPr>
          <w:rFonts w:hint="eastAsia" w:ascii="仿宋_GB2312" w:hAnsi="宋体" w:eastAsia="仿宋_GB2312" w:cs="宋体"/>
          <w:spacing w:val="3"/>
          <w:sz w:val="32"/>
          <w:szCs w:val="32"/>
          <w:lang w:val="en-US" w:eastAsia="zh-CN"/>
          <w14:ligatures w14:val="none"/>
        </w:rPr>
      </w:pPr>
      <w:r>
        <w:rPr>
          <w:rFonts w:hint="eastAsia" w:ascii="仿宋_GB2312" w:hAnsi="宋体" w:eastAsia="仿宋_GB2312" w:cs="宋体"/>
          <w:spacing w:val="3"/>
          <w:sz w:val="32"/>
          <w:szCs w:val="32"/>
          <w:lang w:val="en-US" w:eastAsia="zh-CN"/>
          <w14:ligatures w14:val="none"/>
        </w:rPr>
        <w:t>色温和显色指数：同一测量路段的显色指数和色温测点≥9。</w:t>
      </w:r>
    </w:p>
    <w:p w14:paraId="49E8F9C0">
      <w:pPr>
        <w:widowControl w:val="0"/>
        <w:kinsoku/>
        <w:topLinePunct/>
        <w:spacing w:before="72" w:line="560" w:lineRule="exact"/>
        <w:ind w:right="420" w:firstLine="652" w:firstLineChars="200"/>
        <w:contextualSpacing/>
        <w:jc w:val="both"/>
        <w:rPr>
          <w:rFonts w:hint="eastAsia" w:ascii="仿宋_GB2312" w:hAnsi="宋体" w:eastAsia="仿宋_GB2312" w:cs="宋体"/>
          <w:spacing w:val="3"/>
          <w:sz w:val="32"/>
          <w:szCs w:val="32"/>
          <w:lang w:val="en-US" w:eastAsia="zh-CN"/>
          <w14:ligatures w14:val="none"/>
        </w:rPr>
      </w:pPr>
      <w:r>
        <w:rPr>
          <w:rFonts w:hint="eastAsia" w:ascii="仿宋_GB2312" w:hAnsi="宋体" w:eastAsia="仿宋_GB2312" w:cs="宋体"/>
          <w:spacing w:val="3"/>
          <w:sz w:val="32"/>
          <w:szCs w:val="32"/>
          <w:lang w:val="en-US" w:eastAsia="zh-CN"/>
          <w14:ligatures w14:val="none"/>
        </w:rPr>
        <w:t>阈值增量：TI值。</w:t>
      </w:r>
    </w:p>
    <w:p w14:paraId="2CFD611F">
      <w:pPr>
        <w:widowControl w:val="0"/>
        <w:kinsoku/>
        <w:topLinePunct/>
        <w:spacing w:before="72" w:line="560" w:lineRule="exact"/>
        <w:ind w:right="420" w:firstLine="652" w:firstLineChars="200"/>
        <w:contextualSpacing/>
        <w:jc w:val="both"/>
        <w:rPr>
          <w:rFonts w:hint="eastAsia" w:ascii="仿宋_GB2312" w:hAnsi="宋体" w:eastAsia="仿宋_GB2312" w:cs="宋体"/>
          <w:spacing w:val="3"/>
          <w:sz w:val="32"/>
          <w:szCs w:val="32"/>
          <w:lang w:val="en-US" w:eastAsia="zh-CN"/>
          <w14:ligatures w14:val="none"/>
        </w:rPr>
      </w:pPr>
      <w:r>
        <w:rPr>
          <w:rFonts w:hint="eastAsia" w:ascii="仿宋_GB2312" w:hAnsi="宋体" w:eastAsia="仿宋_GB2312" w:cs="宋体"/>
          <w:spacing w:val="3"/>
          <w:sz w:val="32"/>
          <w:szCs w:val="32"/>
          <w:lang w:val="en-US" w:eastAsia="zh-CN"/>
          <w14:ligatures w14:val="none"/>
        </w:rPr>
        <w:t>单个路灯的电气参数，如工作电流、输入功率、功率因数等</w:t>
      </w:r>
      <w:r>
        <w:rPr>
          <w:rFonts w:hint="eastAsia" w:ascii="仿宋_GB2312" w:hAnsi="宋体" w:cs="宋体"/>
          <w:spacing w:val="3"/>
          <w:sz w:val="32"/>
          <w:szCs w:val="32"/>
          <w:lang w:val="en-US" w:eastAsia="zh-CN"/>
          <w14:ligatures w14:val="none"/>
        </w:rPr>
        <w:t>。</w:t>
      </w:r>
    </w:p>
    <w:p w14:paraId="29673640">
      <w:pPr>
        <w:widowControl w:val="0"/>
        <w:kinsoku/>
        <w:topLinePunct/>
        <w:spacing w:before="72" w:line="560" w:lineRule="exact"/>
        <w:ind w:right="420" w:firstLine="652" w:firstLineChars="200"/>
        <w:contextualSpacing/>
        <w:jc w:val="both"/>
        <w:rPr>
          <w:rFonts w:hint="eastAsia" w:ascii="仿宋_GB2312" w:hAnsi="宋体" w:eastAsia="仿宋_GB2312" w:cs="宋体"/>
          <w:spacing w:val="3"/>
          <w:sz w:val="32"/>
          <w:szCs w:val="32"/>
          <w:lang w:val="en-US" w:eastAsia="zh-CN"/>
          <w14:ligatures w14:val="none"/>
        </w:rPr>
      </w:pPr>
      <w:r>
        <w:rPr>
          <w:rFonts w:hint="eastAsia" w:ascii="仿宋_GB2312" w:hAnsi="宋体" w:eastAsia="仿宋_GB2312" w:cs="宋体"/>
          <w:spacing w:val="3"/>
          <w:sz w:val="32"/>
          <w:szCs w:val="32"/>
          <w:lang w:val="en-US" w:eastAsia="zh-CN"/>
          <w14:ligatures w14:val="none"/>
        </w:rPr>
        <w:t>照明系统的电气参数，如电源电压、工作电流、系统功率、功率因数等，计算出照明功率密度。</w:t>
      </w:r>
    </w:p>
    <w:p w14:paraId="2F3A378A">
      <w:pPr>
        <w:widowControl w:val="0"/>
        <w:kinsoku/>
        <w:topLinePunct/>
        <w:spacing w:before="72" w:line="560" w:lineRule="exact"/>
        <w:ind w:right="420" w:firstLine="648" w:firstLineChars="200"/>
        <w:contextualSpacing/>
        <w:jc w:val="both"/>
        <w:rPr>
          <w:rFonts w:hint="default" w:ascii="仿宋_GB2312" w:hAnsi="宋体" w:eastAsia="仿宋_GB2312" w:cs="宋体"/>
          <w:spacing w:val="3"/>
          <w:sz w:val="32"/>
          <w:szCs w:val="32"/>
          <w:lang w:val="en-US" w:eastAsia="zh-CN"/>
          <w14:ligatures w14:val="none"/>
        </w:rPr>
      </w:pPr>
      <w:r>
        <w:rPr>
          <w:rFonts w:hint="eastAsia" w:ascii="楷体_GB2312" w:hAnsi="宋体" w:eastAsia="楷体_GB2312" w:cs="宋体"/>
          <w:spacing w:val="2"/>
          <w:sz w:val="32"/>
          <w:szCs w:val="32"/>
          <w:highlight w:val="none"/>
          <w:lang w:val="en-US" w:eastAsia="zh-CN"/>
          <w14:ligatures w14:val="none"/>
        </w:rPr>
        <w:t>（三）成果形式：</w:t>
      </w:r>
      <w:r>
        <w:rPr>
          <w:rFonts w:hint="eastAsia" w:ascii="仿宋_GB2312" w:hAnsi="宋体" w:eastAsia="仿宋_GB2312" w:cs="宋体"/>
          <w:spacing w:val="3"/>
          <w:sz w:val="32"/>
          <w:szCs w:val="32"/>
          <w:lang w:val="en-US" w:eastAsia="zh-CN"/>
          <w14:ligatures w14:val="none"/>
        </w:rPr>
        <w:t>检测报告。</w:t>
      </w:r>
    </w:p>
    <w:p w14:paraId="643B2256">
      <w:pPr>
        <w:widowControl w:val="0"/>
        <w:kinsoku/>
        <w:topLinePunct/>
        <w:spacing w:before="112" w:line="560" w:lineRule="exact"/>
        <w:ind w:firstLine="628" w:firstLineChars="200"/>
        <w:contextualSpacing/>
        <w:rPr>
          <w:rFonts w:hint="eastAsia" w:ascii="黑体" w:hAnsi="黑体" w:eastAsia="黑体" w:cs="微软雅黑"/>
          <w:spacing w:val="-3"/>
          <w:sz w:val="32"/>
          <w:szCs w:val="32"/>
          <w:lang w:val="en-US" w:eastAsia="zh-CN"/>
          <w14:ligatures w14:val="none"/>
        </w:rPr>
      </w:pPr>
      <w:r>
        <w:rPr>
          <w:rFonts w:hint="eastAsia" w:ascii="黑体" w:hAnsi="黑体" w:eastAsia="黑体" w:cs="微软雅黑"/>
          <w:spacing w:val="-3"/>
          <w:sz w:val="32"/>
          <w:szCs w:val="32"/>
          <w:lang w:val="en-US" w:eastAsia="zh-CN"/>
          <w14:ligatures w14:val="none"/>
        </w:rPr>
        <w:t>二、道路照明质量专项检测</w:t>
      </w:r>
    </w:p>
    <w:p w14:paraId="243C020A">
      <w:pPr>
        <w:widowControl w:val="0"/>
        <w:kinsoku/>
        <w:topLinePunct/>
        <w:spacing w:before="72" w:line="560" w:lineRule="exact"/>
        <w:ind w:right="420" w:firstLine="648" w:firstLineChars="200"/>
        <w:contextualSpacing/>
        <w:jc w:val="both"/>
        <w:rPr>
          <w:rFonts w:hint="eastAsia" w:ascii="楷体_GB2312" w:hAnsi="宋体" w:eastAsia="楷体_GB2312" w:cs="宋体"/>
          <w:spacing w:val="2"/>
          <w:sz w:val="32"/>
          <w:szCs w:val="32"/>
          <w:highlight w:val="none"/>
          <w:lang w:val="en-US" w:eastAsia="zh-CN"/>
          <w14:ligatures w14:val="none"/>
        </w:rPr>
      </w:pPr>
      <w:r>
        <w:rPr>
          <w:rFonts w:hint="eastAsia" w:ascii="楷体_GB2312" w:hAnsi="宋体" w:eastAsia="楷体_GB2312" w:cs="宋体"/>
          <w:spacing w:val="2"/>
          <w:sz w:val="32"/>
          <w:szCs w:val="32"/>
          <w:highlight w:val="none"/>
          <w:lang w:val="en-US" w:eastAsia="zh-CN"/>
          <w14:ligatures w14:val="none"/>
        </w:rPr>
        <w:t>（一）检测范围及数量</w:t>
      </w:r>
    </w:p>
    <w:p w14:paraId="5C1F1495">
      <w:pPr>
        <w:widowControl w:val="0"/>
        <w:kinsoku/>
        <w:topLinePunct/>
        <w:spacing w:before="72" w:line="560" w:lineRule="exact"/>
        <w:ind w:right="420" w:firstLine="652" w:firstLineChars="200"/>
        <w:contextualSpacing/>
        <w:jc w:val="both"/>
        <w:rPr>
          <w:rFonts w:hint="default" w:ascii="仿宋_GB2312" w:hAnsi="宋体" w:eastAsia="仿宋_GB2312" w:cs="宋体"/>
          <w:spacing w:val="3"/>
          <w:sz w:val="32"/>
          <w:szCs w:val="32"/>
          <w:lang w:val="en-US" w:eastAsia="zh-CN"/>
          <w14:ligatures w14:val="none"/>
        </w:rPr>
      </w:pPr>
      <w:r>
        <w:rPr>
          <w:rFonts w:hint="eastAsia" w:ascii="仿宋_GB2312" w:hAnsi="宋体" w:eastAsia="仿宋_GB2312" w:cs="宋体"/>
          <w:spacing w:val="3"/>
          <w:sz w:val="32"/>
          <w:szCs w:val="32"/>
          <w:lang w:val="en-US" w:eastAsia="zh-CN"/>
          <w14:ligatures w14:val="none"/>
        </w:rPr>
        <w:t>7条，暂定江西路、同安路、夏庄路、书院路、巨峰路、</w:t>
      </w:r>
      <w:r>
        <w:rPr>
          <w:rFonts w:hint="eastAsia" w:ascii="仿宋_GB2312" w:hAnsi="宋体" w:cs="宋体"/>
          <w:spacing w:val="3"/>
          <w:sz w:val="32"/>
          <w:szCs w:val="32"/>
          <w:lang w:val="en-US" w:eastAsia="zh-CN"/>
          <w14:ligatures w14:val="none"/>
        </w:rPr>
        <w:t>中崂路</w:t>
      </w:r>
      <w:r>
        <w:rPr>
          <w:rFonts w:hint="eastAsia" w:ascii="仿宋_GB2312" w:hAnsi="宋体" w:eastAsia="仿宋_GB2312" w:cs="宋体"/>
          <w:spacing w:val="3"/>
          <w:sz w:val="32"/>
          <w:szCs w:val="32"/>
          <w:lang w:val="en-US" w:eastAsia="zh-CN"/>
          <w14:ligatures w14:val="none"/>
        </w:rPr>
        <w:t>绿城片区、赵红路、天水路的节能改造区域，实际检测道路以后期协议约定为准。</w:t>
      </w:r>
    </w:p>
    <w:p w14:paraId="362BEB88">
      <w:pPr>
        <w:widowControl w:val="0"/>
        <w:kinsoku/>
        <w:topLinePunct/>
        <w:spacing w:before="72" w:line="560" w:lineRule="exact"/>
        <w:ind w:right="420" w:firstLine="648" w:firstLineChars="200"/>
        <w:contextualSpacing/>
        <w:jc w:val="both"/>
        <w:rPr>
          <w:rFonts w:hint="default" w:ascii="楷体_GB2312" w:hAnsi="宋体" w:eastAsia="楷体_GB2312" w:cs="宋体"/>
          <w:spacing w:val="2"/>
          <w:sz w:val="32"/>
          <w:szCs w:val="32"/>
          <w:highlight w:val="none"/>
          <w:lang w:val="en-US" w:eastAsia="zh-CN"/>
          <w14:ligatures w14:val="none"/>
        </w:rPr>
      </w:pPr>
      <w:r>
        <w:rPr>
          <w:rFonts w:hint="eastAsia" w:ascii="楷体_GB2312" w:hAnsi="宋体" w:eastAsia="楷体_GB2312" w:cs="宋体"/>
          <w:spacing w:val="2"/>
          <w:sz w:val="32"/>
          <w:szCs w:val="32"/>
          <w:highlight w:val="none"/>
          <w:lang w:val="en-US" w:eastAsia="zh-CN"/>
          <w14:ligatures w14:val="none"/>
        </w:rPr>
        <w:t>（二）检测要求</w:t>
      </w:r>
    </w:p>
    <w:p w14:paraId="537394EF">
      <w:pPr>
        <w:widowControl w:val="0"/>
        <w:kinsoku/>
        <w:topLinePunct/>
        <w:spacing w:before="72" w:line="560" w:lineRule="exact"/>
        <w:ind w:right="420" w:firstLine="652" w:firstLineChars="200"/>
        <w:contextualSpacing/>
        <w:jc w:val="both"/>
        <w:rPr>
          <w:rFonts w:hint="default" w:ascii="仿宋_GB2312" w:hAnsi="宋体" w:eastAsia="仿宋_GB2312" w:cs="宋体"/>
          <w:spacing w:val="3"/>
          <w:sz w:val="32"/>
          <w:szCs w:val="32"/>
          <w:lang w:val="en-US" w:eastAsia="zh-CN"/>
          <w14:ligatures w14:val="none"/>
        </w:rPr>
      </w:pPr>
      <w:r>
        <w:rPr>
          <w:rFonts w:hint="default" w:ascii="仿宋_GB2312" w:hAnsi="宋体" w:eastAsia="仿宋_GB2312" w:cs="宋体"/>
          <w:spacing w:val="3"/>
          <w:sz w:val="32"/>
          <w:szCs w:val="32"/>
          <w:lang w:val="en-US" w:eastAsia="zh-CN"/>
          <w14:ligatures w14:val="none"/>
        </w:rPr>
        <w:t>检测节能改造路段的路面平均照度、照度均匀度、环境比、色温、显色指数、灯杆电参数等</w:t>
      </w:r>
      <w:r>
        <w:rPr>
          <w:rFonts w:hint="eastAsia" w:ascii="仿宋_GB2312" w:hAnsi="宋体" w:cs="宋体"/>
          <w:spacing w:val="3"/>
          <w:sz w:val="32"/>
          <w:szCs w:val="32"/>
          <w:lang w:val="en-US" w:eastAsia="zh-CN"/>
          <w14:ligatures w14:val="none"/>
        </w:rPr>
        <w:t>，并综合考虑和排查光干扰、光污染类影响因素、参照参数等，</w:t>
      </w:r>
      <w:r>
        <w:rPr>
          <w:rFonts w:hint="default" w:ascii="仿宋_GB2312" w:hAnsi="宋体" w:eastAsia="仿宋_GB2312" w:cs="宋体"/>
          <w:spacing w:val="3"/>
          <w:sz w:val="32"/>
          <w:szCs w:val="32"/>
          <w:lang w:val="en-US" w:eastAsia="zh-CN"/>
          <w14:ligatures w14:val="none"/>
        </w:rPr>
        <w:t>出具检测报告。参数取数具体要求同上</w:t>
      </w:r>
    </w:p>
    <w:p w14:paraId="3F6F211B">
      <w:pPr>
        <w:widowControl w:val="0"/>
        <w:kinsoku/>
        <w:topLinePunct/>
        <w:spacing w:before="72" w:line="560" w:lineRule="exact"/>
        <w:ind w:right="420" w:firstLine="648" w:firstLineChars="200"/>
        <w:contextualSpacing/>
        <w:jc w:val="both"/>
        <w:rPr>
          <w:rFonts w:hint="default" w:ascii="仿宋_GB2312" w:hAnsi="宋体" w:eastAsia="仿宋_GB2312" w:cs="宋体"/>
          <w:spacing w:val="3"/>
          <w:sz w:val="32"/>
          <w:szCs w:val="32"/>
          <w:lang w:val="en-US" w:eastAsia="zh-CN"/>
          <w14:ligatures w14:val="none"/>
        </w:rPr>
      </w:pPr>
      <w:r>
        <w:rPr>
          <w:rFonts w:hint="eastAsia" w:ascii="楷体_GB2312" w:hAnsi="宋体" w:eastAsia="楷体_GB2312" w:cs="宋体"/>
          <w:spacing w:val="2"/>
          <w:sz w:val="32"/>
          <w:szCs w:val="32"/>
          <w:highlight w:val="none"/>
          <w:lang w:val="en-US" w:eastAsia="zh-CN"/>
          <w14:ligatures w14:val="none"/>
        </w:rPr>
        <w:t>（三）成果形式：</w:t>
      </w:r>
      <w:r>
        <w:rPr>
          <w:rFonts w:hint="eastAsia" w:ascii="仿宋_GB2312" w:hAnsi="宋体" w:eastAsia="仿宋_GB2312" w:cs="宋体"/>
          <w:spacing w:val="3"/>
          <w:sz w:val="32"/>
          <w:szCs w:val="32"/>
          <w:lang w:val="en-US" w:eastAsia="zh-CN"/>
          <w14:ligatures w14:val="none"/>
        </w:rPr>
        <w:t>检测报告。</w:t>
      </w:r>
    </w:p>
    <w:p w14:paraId="6CCD2661">
      <w:pPr>
        <w:widowControl w:val="0"/>
        <w:kinsoku/>
        <w:topLinePunct/>
        <w:spacing w:before="112" w:line="560" w:lineRule="exact"/>
        <w:ind w:firstLine="628" w:firstLineChars="200"/>
        <w:contextualSpacing/>
        <w:rPr>
          <w:rFonts w:hint="eastAsia" w:ascii="黑体" w:hAnsi="黑体" w:eastAsia="黑体" w:cs="微软雅黑"/>
          <w:spacing w:val="-3"/>
          <w:sz w:val="32"/>
          <w:szCs w:val="32"/>
          <w:lang w:val="en-US" w:eastAsia="zh-CN"/>
          <w14:ligatures w14:val="none"/>
        </w:rPr>
      </w:pPr>
      <w:r>
        <w:rPr>
          <w:rFonts w:hint="eastAsia" w:ascii="黑体" w:hAnsi="黑体" w:eastAsia="黑体" w:cs="微软雅黑"/>
          <w:spacing w:val="-3"/>
          <w:sz w:val="32"/>
          <w:szCs w:val="32"/>
          <w:lang w:val="en-US" w:eastAsia="zh-CN"/>
          <w14:ligatures w14:val="none"/>
        </w:rPr>
        <w:t>三、减碳报告</w:t>
      </w:r>
    </w:p>
    <w:p w14:paraId="14C36DCA">
      <w:pPr>
        <w:widowControl w:val="0"/>
        <w:kinsoku/>
        <w:topLinePunct/>
        <w:spacing w:before="72" w:line="560" w:lineRule="exact"/>
        <w:ind w:right="420" w:firstLine="648" w:firstLineChars="200"/>
        <w:contextualSpacing/>
        <w:jc w:val="both"/>
        <w:rPr>
          <w:rFonts w:hint="default" w:ascii="仿宋_GB2312" w:hAnsi="宋体" w:eastAsia="仿宋_GB2312" w:cs="宋体"/>
          <w:spacing w:val="3"/>
          <w:sz w:val="32"/>
          <w:szCs w:val="32"/>
          <w:lang w:val="en-US" w:eastAsia="zh-CN"/>
          <w14:ligatures w14:val="none"/>
        </w:rPr>
      </w:pPr>
      <w:r>
        <w:rPr>
          <w:rFonts w:hint="eastAsia" w:ascii="楷体_GB2312" w:hAnsi="宋体" w:eastAsia="楷体_GB2312" w:cs="宋体"/>
          <w:spacing w:val="2"/>
          <w:sz w:val="32"/>
          <w:szCs w:val="32"/>
          <w:highlight w:val="none"/>
          <w:lang w:val="en-US" w:eastAsia="zh-CN"/>
          <w14:ligatures w14:val="none"/>
        </w:rPr>
        <w:t>（一）具体要求：</w:t>
      </w:r>
      <w:r>
        <w:rPr>
          <w:rFonts w:hint="default" w:ascii="仿宋_GB2312" w:hAnsi="宋体" w:eastAsia="仿宋_GB2312" w:cs="宋体"/>
          <w:spacing w:val="3"/>
          <w:sz w:val="32"/>
          <w:szCs w:val="32"/>
          <w:lang w:val="en-US" w:eastAsia="zh-CN"/>
          <w14:ligatures w14:val="none"/>
        </w:rPr>
        <w:t>基于检测数值及改造内容计算本次节能改造的精确节能量，并换算成减碳量，出具专业报告。</w:t>
      </w:r>
    </w:p>
    <w:p w14:paraId="53643151">
      <w:pPr>
        <w:widowControl w:val="0"/>
        <w:kinsoku/>
        <w:topLinePunct/>
        <w:spacing w:before="72" w:line="560" w:lineRule="exact"/>
        <w:ind w:right="420" w:firstLine="648" w:firstLineChars="200"/>
        <w:contextualSpacing/>
        <w:jc w:val="both"/>
        <w:rPr>
          <w:rFonts w:hint="default" w:ascii="仿宋_GB2312" w:hAnsi="宋体" w:eastAsia="仿宋_GB2312" w:cs="宋体"/>
          <w:spacing w:val="3"/>
          <w:sz w:val="32"/>
          <w:szCs w:val="32"/>
          <w:lang w:val="en-US" w:eastAsia="zh-CN"/>
          <w14:ligatures w14:val="none"/>
        </w:rPr>
      </w:pPr>
      <w:r>
        <w:rPr>
          <w:rFonts w:hint="eastAsia" w:ascii="楷体_GB2312" w:hAnsi="宋体" w:eastAsia="楷体_GB2312" w:cs="宋体"/>
          <w:spacing w:val="2"/>
          <w:sz w:val="32"/>
          <w:szCs w:val="32"/>
          <w:highlight w:val="none"/>
          <w:lang w:val="en-US" w:eastAsia="zh-CN"/>
          <w14:ligatures w14:val="none"/>
        </w:rPr>
        <w:t>（二）成果形式：</w:t>
      </w:r>
      <w:r>
        <w:rPr>
          <w:rFonts w:hint="eastAsia" w:ascii="仿宋_GB2312" w:hAnsi="宋体" w:eastAsia="仿宋_GB2312" w:cs="宋体"/>
          <w:spacing w:val="3"/>
          <w:sz w:val="32"/>
          <w:szCs w:val="32"/>
          <w:lang w:val="en-US" w:eastAsia="zh-CN"/>
          <w14:ligatures w14:val="none"/>
        </w:rPr>
        <w:t>专项报告（含认证证书等）。</w:t>
      </w:r>
    </w:p>
    <w:p w14:paraId="1AF7D79F">
      <w:pPr>
        <w:widowControl w:val="0"/>
        <w:kinsoku/>
        <w:topLinePunct/>
        <w:spacing w:before="112" w:line="560" w:lineRule="exact"/>
        <w:ind w:firstLine="628" w:firstLineChars="200"/>
        <w:contextualSpacing/>
        <w:rPr>
          <w:rFonts w:hint="eastAsia" w:ascii="黑体" w:hAnsi="黑体" w:eastAsia="黑体" w:cs="微软雅黑"/>
          <w:spacing w:val="-3"/>
          <w:sz w:val="32"/>
          <w:szCs w:val="32"/>
          <w:lang w:val="en-US" w:eastAsia="zh-CN"/>
          <w14:ligatures w14:val="none"/>
        </w:rPr>
      </w:pPr>
      <w:r>
        <w:rPr>
          <w:rFonts w:hint="eastAsia" w:ascii="黑体" w:hAnsi="黑体" w:eastAsia="黑体" w:cs="微软雅黑"/>
          <w:spacing w:val="-3"/>
          <w:sz w:val="32"/>
          <w:szCs w:val="32"/>
          <w:lang w:val="en-US" w:eastAsia="zh-CN"/>
          <w14:ligatures w14:val="none"/>
        </w:rPr>
        <w:t>四、基于检测成果及现场实际情况，提供现场道路照明质量改进或优化建议。</w:t>
      </w:r>
    </w:p>
    <w:p w14:paraId="2921CB3A">
      <w:pPr>
        <w:widowControl w:val="0"/>
        <w:kinsoku/>
        <w:topLinePunct/>
        <w:spacing w:before="112" w:line="560" w:lineRule="exact"/>
        <w:ind w:firstLine="628" w:firstLineChars="200"/>
        <w:contextualSpacing/>
        <w:rPr>
          <w:rFonts w:hint="eastAsia" w:ascii="微软雅黑" w:hAnsi="微软雅黑" w:eastAsia="微软雅黑" w:cs="微软雅黑"/>
          <w:i w:val="0"/>
          <w:iCs w:val="0"/>
          <w:caps w:val="0"/>
          <w:color w:val="767676"/>
          <w:spacing w:val="0"/>
          <w:sz w:val="27"/>
          <w:szCs w:val="27"/>
          <w:highlight w:val="none"/>
          <w:shd w:val="clear" w:fill="FFFFFF"/>
          <w:lang w:val="en-US" w:eastAsia="zh-CN"/>
        </w:rPr>
      </w:pPr>
      <w:r>
        <w:rPr>
          <w:rFonts w:hint="eastAsia" w:ascii="黑体" w:hAnsi="黑体" w:eastAsia="黑体" w:cs="微软雅黑"/>
          <w:spacing w:val="-3"/>
          <w:sz w:val="32"/>
          <w:szCs w:val="32"/>
          <w:lang w:val="en-US" w:eastAsia="zh-CN"/>
          <w14:ligatures w14:val="none"/>
        </w:rPr>
        <w:t>五、指派专业实施人员提供现场检测服务和专项对接，并通过线上或线下等多种形式进行成果的交底培训、资料答疑、数据信息解释等相关售后服务。</w:t>
      </w:r>
    </w:p>
    <w:sectPr>
      <w:headerReference r:id="rId3" w:type="default"/>
      <w:footerReference r:id="rId4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小标宋_GBK">
    <w:altName w:val="Arial Unicode MS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