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微软雅黑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b/>
          <w:bCs/>
          <w:sz w:val="44"/>
          <w:szCs w:val="44"/>
        </w:rPr>
        <w:t>报价函目录</w:t>
      </w:r>
    </w:p>
    <w:p>
      <w:pPr>
        <w:spacing w:line="560" w:lineRule="exact"/>
        <w:rPr>
          <w:rFonts w:ascii="仿宋" w:hAnsi="仿宋" w:eastAsia="仿宋" w:cs="微软雅黑"/>
          <w:bCs/>
          <w:sz w:val="20"/>
          <w:szCs w:val="20"/>
        </w:rPr>
      </w:pP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1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项目总报价及明细（应包含拍摄设备说明及价格）；</w:t>
      </w: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2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阐述对此视频片的简要理解和说明；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微软雅黑"/>
          <w:bCs/>
          <w:sz w:val="32"/>
          <w:szCs w:val="32"/>
        </w:rPr>
        <w:t>3.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营业执照副本复印件；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4.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信用查询情况截图；</w:t>
      </w:r>
    </w:p>
    <w:p>
      <w:pPr>
        <w:spacing w:line="560" w:lineRule="exact"/>
        <w:rPr>
          <w:rFonts w:ascii="仿宋_GB2312" w:hAnsi="仿宋" w:eastAsia="仿宋_GB2312"/>
          <w:bCs/>
          <w:color w:val="000000"/>
          <w:kern w:val="1"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5.</w:t>
      </w:r>
      <w:r>
        <w:rPr>
          <w:rFonts w:hint="eastAsia" w:ascii="仿宋_GB2312" w:hAnsi="仿宋" w:eastAsia="仿宋_GB2312"/>
          <w:bCs/>
          <w:color w:val="000000"/>
          <w:kern w:val="1"/>
          <w:sz w:val="32"/>
          <w:szCs w:val="32"/>
        </w:rPr>
        <w:t>报价单位认为应介绍或者提交的资料、文件和说明，并提供拍摄的三部样片；</w:t>
      </w:r>
    </w:p>
    <w:p>
      <w:pPr>
        <w:spacing w:line="560" w:lineRule="exact"/>
        <w:rPr>
          <w:rFonts w:ascii="仿宋_GB2312" w:hAnsi="仿宋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ascii="仿宋_GB2312" w:hAnsi="仿宋" w:eastAsia="仿宋_GB2312"/>
          <w:bCs/>
          <w:color w:val="000000"/>
          <w:kern w:val="1"/>
          <w:sz w:val="32"/>
          <w:szCs w:val="32"/>
        </w:rPr>
        <w:t>6.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声明函（附件2）。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00983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MjI4ZmViMjY5ZWU5ZmRjNzA4OTczNWJjZDM2OGYifQ=="/>
  </w:docVars>
  <w:rsids>
    <w:rsidRoot w:val="00000000"/>
    <w:rsid w:val="66C9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